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广东坚美铝型材厂（集团）有限公司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温室气体减排计划</w:t>
      </w:r>
    </w:p>
    <w:p>
      <w:pPr>
        <w:pStyle w:val="2"/>
        <w:spacing w:before="188"/>
        <w:ind w:left="212"/>
      </w:pPr>
      <w:r>
        <w:rPr>
          <w:sz w:val="28"/>
          <w:szCs w:val="28"/>
        </w:rPr>
        <w:t>一、</w:t>
      </w:r>
      <w:r>
        <w:rPr>
          <w:rFonts w:hint="eastAsia" w:ascii="楷体" w:hAnsi="楷体" w:eastAsia="楷体" w:cs="楷体"/>
          <w:color w:val="000000"/>
          <w:sz w:val="28"/>
          <w:szCs w:val="28"/>
          <w:lang w:val="en-US" w:eastAsia="en-US" w:bidi="ar-SA"/>
        </w:rPr>
        <w:t>公司基本情况</w:t>
      </w:r>
    </w:p>
    <w:p>
      <w:pPr>
        <w:numPr>
          <w:ilvl w:val="0"/>
          <w:numId w:val="0"/>
        </w:numPr>
        <w:spacing w:line="560" w:lineRule="exact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广东坚美铝型材厂（集团）有限公司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,</w:t>
      </w:r>
      <w:r>
        <w:rPr>
          <w:rFonts w:hint="eastAsia"/>
          <w:color w:val="000000"/>
          <w:sz w:val="28"/>
          <w:szCs w:val="28"/>
        </w:rPr>
        <w:t>（以下简称坚美公司）成立于 1993 年，座落于全国唯一的铝合金型材产业知名品牌创建示范区——广东省佛山市南海区，是一家集铝合金建筑型材、工业型材和铝门窗幕墙研究、设计、生产及销售于一体的大型民营企业，产品广泛应用于建筑、轨道交通、船舶、国防军工等领域。坚美公司始终秉承“坚持追求完美”的价值观，保证产品质量优异，国内高端市场占有率达13%以上，全球著名的十大高层建筑（h≥440m）坚美工程就占了五座。全国67座300m以上超高层建筑中，坚美工程占24座，占比35%。产品销售覆盖全国30多个省市，远销全球70多个国家和地区，在国内外分布近500多个经销网点。</w:t>
      </w:r>
    </w:p>
    <w:p>
      <w:pPr>
        <w:spacing w:line="560" w:lineRule="exact"/>
        <w:ind w:firstLine="560" w:firstLineChars="200"/>
        <w:rPr>
          <w:rFonts w:hint="eastAsia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/>
          <w:color w:val="000000"/>
          <w:sz w:val="28"/>
          <w:szCs w:val="28"/>
        </w:rPr>
        <w:t>目前，坚美公司是广东省节能先进单位、广东省清洁生产企业、国家火炬计划重点高新技术企业、国家级高新技术企业、国家企业技术中心企业、广东省知识产权优势企业,“广东省铝材工程技术研究开发中心”、“佛山市和南海区铝材工程技术研究开发中心”的依托单位。经国家建设部评定为中国建设科技自主创新优势企业，同时经全国有色金属标准化技术委员会确定为“GB 5237《铝合金建筑型材》国家标准研制创新示范基地”和“ISO 28340：2013国际标准研制创新示范基地”,已拥有自主知识产权的国家专利400多项，主持或参与起草制定了GB21351-2015《铝合金建筑型材单位产品能源消耗限额》、GB5237-2008《铝合金建筑型材》系列标准等行业标准、国家标准及国际标准</w:t>
      </w:r>
      <w:r>
        <w:rPr>
          <w:rFonts w:hint="eastAsia"/>
          <w:color w:val="000000"/>
          <w:sz w:val="28"/>
          <w:szCs w:val="28"/>
          <w:lang w:val="en-US" w:eastAsia="zh-CN"/>
        </w:rPr>
        <w:t>216</w:t>
      </w:r>
      <w:r>
        <w:rPr>
          <w:rFonts w:hint="eastAsia"/>
          <w:color w:val="000000"/>
          <w:sz w:val="28"/>
          <w:szCs w:val="28"/>
        </w:rPr>
        <w:t>项。2017年获得了中国质量奖提名奖及广东省政府质量奖的殊荣。</w:t>
      </w:r>
    </w:p>
    <w:p>
      <w:pPr>
        <w:spacing w:line="560" w:lineRule="exact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坚美公司坚持科学发展观，以节能、节材、清洁生产和发展循环经济为重点，不断完善能源管理体系建设，加强能源科学管理，切实加快铝型材加工产业的技术升级改造,提高了能源利用效率，增强了企业竞争力，促进了企业高速、高效发展。</w:t>
      </w:r>
    </w:p>
    <w:p>
      <w:pPr>
        <w:spacing w:line="560" w:lineRule="exact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（1）企业主要产品和生产能力： </w:t>
      </w:r>
    </w:p>
    <w:p>
      <w:pPr>
        <w:spacing w:line="560" w:lineRule="exact"/>
        <w:ind w:firstLine="560" w:firstLineChars="200"/>
        <w:rPr>
          <w:rFonts w:hint="eastAsia"/>
          <w:color w:val="000000"/>
          <w:sz w:val="28"/>
          <w:szCs w:val="28"/>
          <w:lang w:val="es-ES"/>
        </w:rPr>
      </w:pPr>
      <w:r>
        <w:rPr>
          <w:rFonts w:hint="eastAsia"/>
          <w:color w:val="000000"/>
          <w:sz w:val="28"/>
          <w:szCs w:val="28"/>
        </w:rPr>
        <w:t>坚美公司主要产品为铝合金建筑型材，包括阳极氧化型材、电泳涂漆型材、粉末喷涂型材、氟碳漆喷涂型材和基材等五大类产品，年生产能力30万吨。</w:t>
      </w:r>
    </w:p>
    <w:p>
      <w:pPr>
        <w:spacing w:line="560" w:lineRule="exact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（2）企业生产车间和大型设备：</w:t>
      </w:r>
    </w:p>
    <w:p>
      <w:pPr>
        <w:spacing w:line="560" w:lineRule="exact"/>
        <w:ind w:firstLine="560" w:firstLineChars="200"/>
        <w:rPr>
          <w:rFonts w:hint="eastAsia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坚美公司属下的生产车间(部门)包括熔铸车间、挤压车间、氧化车间、喷涂车间、氟碳车间、设备部及各辅助性的部门。企业现拥有铝合金熔铸生产线6条，挤压生产线10条，1条卧式和2条立式喷涂科研生产线，2条氟碳生产线以及1条国际先进技术水平的氧化电泳涂装生产线等。</w:t>
      </w:r>
    </w:p>
    <w:p>
      <w:pPr>
        <w:pStyle w:val="2"/>
        <w:spacing w:before="2"/>
        <w:ind w:left="692"/>
      </w:pPr>
      <w:r>
        <w:rPr>
          <w:rFonts w:hint="eastAsia" w:ascii="楷体" w:hAnsi="楷体" w:eastAsia="楷体" w:cs="楷体"/>
          <w:color w:val="000000"/>
          <w:sz w:val="28"/>
          <w:szCs w:val="28"/>
          <w:lang w:val="en-US" w:eastAsia="en-US" w:bidi="ar-SA"/>
        </w:rPr>
        <w:t>2024 年 01 月 01 日至 2024 年 12 月 31 日的温室气体排放量如下：</w:t>
      </w:r>
    </w:p>
    <w:p>
      <w:pPr>
        <w:spacing w:before="99" w:after="23"/>
        <w:ind w:left="3839" w:right="0" w:firstLine="0"/>
        <w:jc w:val="left"/>
        <w:rPr>
          <w:rFonts w:ascii="Calibri" w:eastAsia="Calibri"/>
          <w:b/>
          <w:sz w:val="21"/>
        </w:rPr>
      </w:pPr>
      <w:r>
        <w:rPr>
          <w:rFonts w:hint="eastAsia" w:ascii="仿宋" w:eastAsia="仿宋"/>
          <w:b/>
          <w:sz w:val="21"/>
        </w:rPr>
        <w:t>企业温室气体排放汇总表</w:t>
      </w:r>
      <w:r>
        <w:rPr>
          <w:rFonts w:ascii="Calibri" w:eastAsia="Calibri"/>
          <w:b/>
          <w:sz w:val="21"/>
        </w:rPr>
        <w:t>(tCO</w:t>
      </w:r>
      <w:r>
        <w:rPr>
          <w:rFonts w:ascii="Calibri" w:eastAsia="Calibri"/>
          <w:b/>
          <w:sz w:val="21"/>
          <w:vertAlign w:val="subscript"/>
        </w:rPr>
        <w:t>2</w:t>
      </w:r>
      <w:r>
        <w:rPr>
          <w:rFonts w:ascii="Calibri" w:eastAsia="Calibri"/>
          <w:b/>
          <w:sz w:val="21"/>
          <w:vertAlign w:val="baseline"/>
        </w:rPr>
        <w:t>e)</w:t>
      </w:r>
    </w:p>
    <w:tbl>
      <w:tblPr>
        <w:tblStyle w:val="3"/>
        <w:tblW w:w="0" w:type="auto"/>
        <w:tblInd w:w="4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3"/>
        <w:gridCol w:w="23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6923" w:type="dxa"/>
            <w:shd w:val="clear" w:color="auto" w:fill="F1F1F1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类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</w:t>
            </w:r>
            <w:r>
              <w:rPr>
                <w:b/>
                <w:sz w:val="24"/>
              </w:rPr>
              <w:t>别</w:t>
            </w:r>
          </w:p>
        </w:tc>
        <w:tc>
          <w:tcPr>
            <w:tcW w:w="2320" w:type="dxa"/>
            <w:shd w:val="clear" w:color="auto" w:fill="F1F1F1"/>
          </w:tcPr>
          <w:p>
            <w:pPr>
              <w:pStyle w:val="7"/>
              <w:spacing w:before="26"/>
              <w:ind w:left="576" w:right="569"/>
              <w:rPr>
                <w:b/>
                <w:sz w:val="24"/>
              </w:rPr>
            </w:pPr>
            <w:r>
              <w:rPr>
                <w:b/>
                <w:sz w:val="24"/>
              </w:rPr>
              <w:t>排放量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6923" w:type="dxa"/>
          </w:tcPr>
          <w:p>
            <w:pPr>
              <w:pStyle w:val="7"/>
              <w:spacing w:before="24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类别一：直接温室气体排放量(tCO</w:t>
            </w:r>
            <w:r>
              <w:rPr>
                <w:position w:val="-3"/>
                <w:sz w:val="12"/>
              </w:rPr>
              <w:t>2</w:t>
            </w:r>
            <w:r>
              <w:rPr>
                <w:sz w:val="24"/>
              </w:rPr>
              <w:t>e)</w:t>
            </w:r>
          </w:p>
        </w:tc>
        <w:tc>
          <w:tcPr>
            <w:tcW w:w="2320" w:type="dxa"/>
          </w:tcPr>
          <w:p>
            <w:pPr>
              <w:pStyle w:val="7"/>
              <w:spacing w:before="24"/>
              <w:ind w:left="578" w:right="569"/>
              <w:rPr>
                <w:rFonts w:hint="default" w:eastAsia="楷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52782.67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923" w:type="dxa"/>
          </w:tcPr>
          <w:p>
            <w:pPr>
              <w:pStyle w:val="7"/>
              <w:spacing w:before="144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类别二：输入能源的间接温室气体排放量(tCO</w:t>
            </w:r>
            <w:r>
              <w:rPr>
                <w:position w:val="-2"/>
                <w:sz w:val="12"/>
              </w:rPr>
              <w:t>2</w:t>
            </w:r>
            <w:r>
              <w:rPr>
                <w:sz w:val="24"/>
              </w:rPr>
              <w:t>e)</w:t>
            </w:r>
          </w:p>
        </w:tc>
        <w:tc>
          <w:tcPr>
            <w:tcW w:w="2320" w:type="dxa"/>
          </w:tcPr>
          <w:p>
            <w:pPr>
              <w:pStyle w:val="7"/>
              <w:spacing w:before="147"/>
              <w:ind w:left="578" w:right="569"/>
              <w:rPr>
                <w:rFonts w:hint="default" w:eastAsia="楷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66903.35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6923" w:type="dxa"/>
          </w:tcPr>
          <w:p>
            <w:pPr>
              <w:pStyle w:val="7"/>
              <w:spacing w:before="24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排放总量(tCO</w:t>
            </w:r>
            <w:r>
              <w:rPr>
                <w:position w:val="-2"/>
                <w:sz w:val="12"/>
              </w:rPr>
              <w:t>2</w:t>
            </w:r>
            <w:r>
              <w:rPr>
                <w:sz w:val="24"/>
              </w:rPr>
              <w:t>e)</w:t>
            </w:r>
          </w:p>
        </w:tc>
        <w:tc>
          <w:tcPr>
            <w:tcW w:w="2320" w:type="dxa"/>
          </w:tcPr>
          <w:p>
            <w:pPr>
              <w:pStyle w:val="7"/>
              <w:spacing w:before="24"/>
              <w:ind w:left="578" w:right="569"/>
              <w:rPr>
                <w:rFonts w:hint="default" w:eastAsia="楷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119689.02</w:t>
            </w:r>
          </w:p>
        </w:tc>
      </w:tr>
    </w:tbl>
    <w:p>
      <w:pPr>
        <w:pStyle w:val="2"/>
        <w:spacing w:before="81"/>
        <w:ind w:left="692"/>
      </w:pPr>
      <w:r>
        <w:t>其中熔铸工序的温室气体排放情况：</w:t>
      </w:r>
    </w:p>
    <w:p>
      <w:pPr>
        <w:pStyle w:val="2"/>
        <w:rPr>
          <w:sz w:val="6"/>
        </w:rPr>
      </w:pPr>
    </w:p>
    <w:tbl>
      <w:tblPr>
        <w:tblStyle w:val="3"/>
        <w:tblW w:w="0" w:type="auto"/>
        <w:tblInd w:w="4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08"/>
        <w:gridCol w:w="1700"/>
        <w:gridCol w:w="36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908" w:type="dxa"/>
          </w:tcPr>
          <w:p>
            <w:pPr>
              <w:pStyle w:val="7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熔铸工序温室气体排放量(tCO</w:t>
            </w:r>
            <w:r>
              <w:rPr>
                <w:position w:val="-2"/>
                <w:sz w:val="12"/>
              </w:rPr>
              <w:t>2</w:t>
            </w:r>
            <w:r>
              <w:rPr>
                <w:sz w:val="24"/>
              </w:rPr>
              <w:t>e)</w:t>
            </w:r>
          </w:p>
        </w:tc>
        <w:tc>
          <w:tcPr>
            <w:tcW w:w="1700" w:type="dxa"/>
          </w:tcPr>
          <w:p>
            <w:pPr>
              <w:pStyle w:val="7"/>
              <w:ind w:left="88" w:right="1"/>
              <w:rPr>
                <w:sz w:val="24"/>
              </w:rPr>
            </w:pPr>
            <w:r>
              <w:rPr>
                <w:sz w:val="24"/>
              </w:rPr>
              <w:t>产品产量（t）</w:t>
            </w:r>
          </w:p>
        </w:tc>
        <w:tc>
          <w:tcPr>
            <w:tcW w:w="3617" w:type="dxa"/>
          </w:tcPr>
          <w:p>
            <w:pPr>
              <w:pStyle w:val="7"/>
              <w:ind w:left="87" w:right="59"/>
              <w:rPr>
                <w:sz w:val="24"/>
              </w:rPr>
            </w:pPr>
            <w:r>
              <w:rPr>
                <w:sz w:val="24"/>
              </w:rPr>
              <w:t>温室气体排放强度（tCO</w:t>
            </w:r>
            <w:r>
              <w:rPr>
                <w:position w:val="-2"/>
                <w:sz w:val="12"/>
              </w:rPr>
              <w:t>2</w:t>
            </w:r>
            <w:r>
              <w:rPr>
                <w:sz w:val="24"/>
              </w:rPr>
              <w:t>e/tAL）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908" w:type="dxa"/>
          </w:tcPr>
          <w:p>
            <w:pPr>
              <w:pStyle w:val="7"/>
              <w:ind w:left="1452" w:right="1445"/>
              <w:rPr>
                <w:rFonts w:hint="default" w:eastAsia="楷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43351.29</w:t>
            </w:r>
          </w:p>
        </w:tc>
        <w:tc>
          <w:tcPr>
            <w:tcW w:w="1700" w:type="dxa"/>
          </w:tcPr>
          <w:p>
            <w:pPr>
              <w:pStyle w:val="7"/>
              <w:ind w:left="11" w:right="1"/>
              <w:rPr>
                <w:rFonts w:hint="default" w:eastAsia="楷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154621</w:t>
            </w:r>
          </w:p>
        </w:tc>
        <w:tc>
          <w:tcPr>
            <w:tcW w:w="3617" w:type="dxa"/>
          </w:tcPr>
          <w:p>
            <w:pPr>
              <w:pStyle w:val="7"/>
              <w:ind w:left="65" w:right="59"/>
              <w:rPr>
                <w:rFonts w:hint="eastAsia" w:eastAsia="楷体"/>
                <w:sz w:val="24"/>
                <w:lang w:eastAsia="zh-CN"/>
              </w:rPr>
            </w:pPr>
            <w:r>
              <w:rPr>
                <w:sz w:val="24"/>
              </w:rPr>
              <w:t>0.2</w:t>
            </w: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1910" w:h="16840"/>
          <w:pgMar w:top="1180" w:right="900" w:bottom="280" w:left="920" w:header="720" w:footer="720" w:gutter="0"/>
        </w:sectPr>
      </w:pPr>
    </w:p>
    <w:p>
      <w:pPr>
        <w:pStyle w:val="2"/>
        <w:spacing w:before="37"/>
        <w:ind w:right="3871"/>
        <w:jc w:val="right"/>
      </w:pPr>
      <w:r>
        <w:t>熔铸后挤压及表面处理加工工序的温室气体排放强：</w:t>
      </w:r>
    </w:p>
    <w:p>
      <w:pPr>
        <w:pStyle w:val="2"/>
        <w:spacing w:before="2"/>
        <w:rPr>
          <w:sz w:val="6"/>
        </w:rPr>
      </w:pPr>
    </w:p>
    <w:tbl>
      <w:tblPr>
        <w:tblStyle w:val="3"/>
        <w:tblW w:w="0" w:type="auto"/>
        <w:tblInd w:w="4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08"/>
        <w:gridCol w:w="1700"/>
        <w:gridCol w:w="36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908" w:type="dxa"/>
          </w:tcPr>
          <w:p>
            <w:pPr>
              <w:pStyle w:val="7"/>
              <w:spacing w:before="81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工序温室气体排放量(tCO</w:t>
            </w:r>
            <w:r>
              <w:rPr>
                <w:position w:val="-2"/>
                <w:sz w:val="12"/>
              </w:rPr>
              <w:t>2</w:t>
            </w:r>
            <w:r>
              <w:rPr>
                <w:sz w:val="24"/>
              </w:rPr>
              <w:t>e)</w:t>
            </w:r>
          </w:p>
        </w:tc>
        <w:tc>
          <w:tcPr>
            <w:tcW w:w="1700" w:type="dxa"/>
          </w:tcPr>
          <w:p>
            <w:pPr>
              <w:pStyle w:val="7"/>
              <w:spacing w:before="81"/>
              <w:ind w:left="88" w:right="1"/>
              <w:rPr>
                <w:sz w:val="24"/>
              </w:rPr>
            </w:pPr>
            <w:r>
              <w:rPr>
                <w:sz w:val="24"/>
              </w:rPr>
              <w:t>产品产量（t）</w:t>
            </w:r>
          </w:p>
        </w:tc>
        <w:tc>
          <w:tcPr>
            <w:tcW w:w="3617" w:type="dxa"/>
          </w:tcPr>
          <w:p>
            <w:pPr>
              <w:pStyle w:val="7"/>
              <w:spacing w:before="81"/>
              <w:ind w:left="87" w:right="59"/>
              <w:rPr>
                <w:sz w:val="24"/>
              </w:rPr>
            </w:pPr>
            <w:r>
              <w:rPr>
                <w:sz w:val="24"/>
              </w:rPr>
              <w:t>温室气体排放强度（tCO</w:t>
            </w:r>
            <w:r>
              <w:rPr>
                <w:position w:val="-2"/>
                <w:sz w:val="12"/>
              </w:rPr>
              <w:t>2</w:t>
            </w:r>
            <w:r>
              <w:rPr>
                <w:sz w:val="24"/>
              </w:rPr>
              <w:t>e/tAL）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908" w:type="dxa"/>
          </w:tcPr>
          <w:p>
            <w:pPr>
              <w:pStyle w:val="7"/>
              <w:spacing w:before="81"/>
              <w:ind w:left="1452" w:right="1445"/>
              <w:rPr>
                <w:rFonts w:hint="default" w:eastAsia="楷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76337.73</w:t>
            </w:r>
          </w:p>
        </w:tc>
        <w:tc>
          <w:tcPr>
            <w:tcW w:w="1700" w:type="dxa"/>
          </w:tcPr>
          <w:p>
            <w:pPr>
              <w:pStyle w:val="7"/>
              <w:spacing w:before="81"/>
              <w:ind w:left="11" w:right="1"/>
              <w:rPr>
                <w:rFonts w:hint="default" w:eastAsia="楷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129220</w:t>
            </w:r>
          </w:p>
        </w:tc>
        <w:tc>
          <w:tcPr>
            <w:tcW w:w="3617" w:type="dxa"/>
          </w:tcPr>
          <w:p>
            <w:pPr>
              <w:pStyle w:val="7"/>
              <w:spacing w:before="81"/>
              <w:ind w:left="65" w:right="59"/>
              <w:rPr>
                <w:rFonts w:hint="default" w:eastAsia="楷体"/>
                <w:sz w:val="24"/>
                <w:lang w:val="en-US" w:eastAsia="zh-CN"/>
              </w:rPr>
            </w:pPr>
            <w:r>
              <w:rPr>
                <w:sz w:val="24"/>
              </w:rPr>
              <w:t>0.</w:t>
            </w:r>
            <w:r>
              <w:rPr>
                <w:rFonts w:hint="eastAsia"/>
                <w:sz w:val="24"/>
                <w:lang w:val="en-US" w:eastAsia="zh-CN"/>
              </w:rPr>
              <w:t>59</w:t>
            </w:r>
          </w:p>
        </w:tc>
      </w:tr>
    </w:tbl>
    <w:p>
      <w:pPr>
        <w:pStyle w:val="2"/>
        <w:spacing w:before="81" w:line="364" w:lineRule="auto"/>
        <w:ind w:left="212" w:right="232" w:firstLine="480"/>
        <w:rPr>
          <w:color w:val="FF0000"/>
        </w:rPr>
      </w:pPr>
      <w:r>
        <w:rPr>
          <w:color w:val="FF0000"/>
          <w:spacing w:val="-19"/>
        </w:rPr>
        <w:t xml:space="preserve">利用 </w:t>
      </w:r>
      <w:r>
        <w:rPr>
          <w:color w:val="FF0000"/>
        </w:rPr>
        <w:t>ASI 实体级温室气体减排路径方法中的规定、ASI</w:t>
      </w:r>
      <w:r>
        <w:rPr>
          <w:color w:val="FF0000"/>
          <w:spacing w:val="-23"/>
        </w:rPr>
        <w:t xml:space="preserve"> 提供的 </w:t>
      </w:r>
      <w:r>
        <w:rPr>
          <w:color w:val="FF0000"/>
        </w:rPr>
        <w:t>EXCEL</w:t>
      </w:r>
      <w:r>
        <w:rPr>
          <w:color w:val="FF0000"/>
          <w:spacing w:val="-9"/>
        </w:rPr>
        <w:t xml:space="preserve"> 工作簿绘制形成公</w:t>
      </w:r>
      <w:r>
        <w:rPr>
          <w:color w:val="FF0000"/>
        </w:rPr>
        <w:t>司的工艺排放斜率值和采购斜率值如下图：</w:t>
      </w:r>
    </w:p>
    <w:p>
      <w:pPr>
        <w:pStyle w:val="2"/>
        <w:spacing w:before="2"/>
        <w:rPr>
          <w:color w:val="FF0000"/>
          <w:sz w:val="8"/>
        </w:rPr>
      </w:pPr>
      <w:r>
        <w:rPr>
          <w:color w:val="FF0000"/>
        </w:rPr>
        <w:drawing>
          <wp:anchor distT="0" distB="0" distL="0" distR="0" simplePos="0" relativeHeight="0" behindDoc="0" locked="0" layoutInCell="1" allowOverlap="1">
            <wp:simplePos x="0" y="0"/>
            <wp:positionH relativeFrom="page">
              <wp:posOffset>1221740</wp:posOffset>
            </wp:positionH>
            <wp:positionV relativeFrom="paragraph">
              <wp:posOffset>91440</wp:posOffset>
            </wp:positionV>
            <wp:extent cx="5052060" cy="320611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2042" cy="3205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8"/>
        <w:rPr>
          <w:color w:val="FF0000"/>
          <w:sz w:val="26"/>
        </w:rPr>
      </w:pPr>
    </w:p>
    <w:p>
      <w:pPr>
        <w:spacing w:before="0"/>
        <w:ind w:left="0" w:right="3896" w:firstLine="0"/>
        <w:jc w:val="right"/>
        <w:rPr>
          <w:b/>
          <w:color w:val="FF0000"/>
          <w:sz w:val="21"/>
        </w:rPr>
      </w:pPr>
      <w:r>
        <w:rPr>
          <w:b/>
          <w:color w:val="FF0000"/>
          <w:w w:val="95"/>
          <w:sz w:val="21"/>
        </w:rPr>
        <w:t>（工艺过程排放斜率值）</w:t>
      </w:r>
    </w:p>
    <w:p>
      <w:pPr>
        <w:pStyle w:val="2"/>
        <w:rPr>
          <w:b/>
          <w:color w:val="FF0000"/>
          <w:sz w:val="16"/>
        </w:rPr>
      </w:pPr>
      <w:r>
        <w:rPr>
          <w:color w:val="FF0000"/>
        </w:rP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1155065</wp:posOffset>
            </wp:positionH>
            <wp:positionV relativeFrom="paragraph">
              <wp:posOffset>156845</wp:posOffset>
            </wp:positionV>
            <wp:extent cx="5180965" cy="329184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0884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0"/>
        <w:rPr>
          <w:b/>
          <w:color w:val="FF0000"/>
          <w:sz w:val="22"/>
        </w:rPr>
      </w:pPr>
    </w:p>
    <w:p>
      <w:pPr>
        <w:spacing w:before="1"/>
        <w:ind w:left="4277" w:right="4296" w:firstLine="0"/>
        <w:jc w:val="center"/>
        <w:rPr>
          <w:rFonts w:hint="eastAsia" w:ascii="宋体" w:eastAsia="宋体"/>
          <w:b/>
          <w:color w:val="FF0000"/>
          <w:sz w:val="21"/>
        </w:rPr>
      </w:pPr>
      <w:r>
        <w:rPr>
          <w:rFonts w:hint="eastAsia" w:ascii="宋体" w:eastAsia="宋体"/>
          <w:b/>
          <w:color w:val="FF0000"/>
          <w:sz w:val="21"/>
        </w:rPr>
        <w:t>（采购斜率值）</w:t>
      </w:r>
    </w:p>
    <w:p>
      <w:pPr>
        <w:spacing w:after="0"/>
        <w:jc w:val="center"/>
        <w:rPr>
          <w:rFonts w:hint="eastAsia" w:ascii="宋体" w:eastAsia="宋体"/>
          <w:color w:val="FF0000"/>
          <w:sz w:val="21"/>
        </w:rPr>
        <w:sectPr>
          <w:pgSz w:w="11910" w:h="16840"/>
          <w:pgMar w:top="1160" w:right="900" w:bottom="280" w:left="920" w:header="720" w:footer="720" w:gutter="0"/>
        </w:sectPr>
      </w:pPr>
    </w:p>
    <w:p>
      <w:pPr>
        <w:pStyle w:val="2"/>
        <w:spacing w:before="37" w:line="458" w:lineRule="auto"/>
        <w:ind w:left="692" w:right="7711" w:hanging="480"/>
        <w:rPr>
          <w:color w:val="FF0000"/>
        </w:rPr>
      </w:pPr>
      <w:r>
        <w:t>二、减排目标和计划</w:t>
      </w:r>
      <w:r>
        <w:rPr>
          <w:color w:val="FF0000"/>
        </w:rPr>
        <w:t>1、减排目标：</w:t>
      </w:r>
    </w:p>
    <w:p>
      <w:pPr>
        <w:pStyle w:val="2"/>
        <w:spacing w:before="1"/>
        <w:ind w:left="692"/>
        <w:rPr>
          <w:color w:val="FF0000"/>
        </w:rPr>
      </w:pPr>
      <w:r>
        <w:rPr>
          <w:color w:val="FF0000"/>
        </w:rPr>
        <w:t>公司以 2024 年为基准年，减排目标为排放强度（tCO</w:t>
      </w:r>
      <w:r>
        <w:rPr>
          <w:color w:val="FF0000"/>
          <w:position w:val="-2"/>
          <w:sz w:val="12"/>
        </w:rPr>
        <w:t>2</w:t>
      </w:r>
      <w:r>
        <w:rPr>
          <w:color w:val="FF0000"/>
        </w:rPr>
        <w:t>e/tAL），具体如下：</w:t>
      </w:r>
    </w:p>
    <w:p>
      <w:pPr>
        <w:pStyle w:val="2"/>
        <w:spacing w:before="7"/>
        <w:rPr>
          <w:color w:val="FF0000"/>
          <w:sz w:val="15"/>
        </w:rPr>
      </w:pPr>
    </w:p>
    <w:tbl>
      <w:tblPr>
        <w:tblStyle w:val="3"/>
        <w:tblW w:w="0" w:type="auto"/>
        <w:tblInd w:w="40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01"/>
        <w:gridCol w:w="1233"/>
        <w:gridCol w:w="1233"/>
        <w:gridCol w:w="1233"/>
        <w:gridCol w:w="1233"/>
        <w:gridCol w:w="12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3101" w:type="dxa"/>
          </w:tcPr>
          <w:p>
            <w:pPr>
              <w:pStyle w:val="7"/>
              <w:spacing w:before="81"/>
              <w:ind w:left="1287" w:right="1281"/>
              <w:rPr>
                <w:b/>
                <w:color w:val="FF0000"/>
                <w:sz w:val="24"/>
              </w:rPr>
            </w:pPr>
            <w:r>
              <w:rPr>
                <w:b/>
                <w:color w:val="FF0000"/>
                <w:sz w:val="24"/>
              </w:rPr>
              <w:t>范围</w:t>
            </w:r>
          </w:p>
        </w:tc>
        <w:tc>
          <w:tcPr>
            <w:tcW w:w="1233" w:type="dxa"/>
          </w:tcPr>
          <w:p>
            <w:pPr>
              <w:pStyle w:val="7"/>
              <w:spacing w:before="81"/>
              <w:ind w:left="171" w:right="164"/>
              <w:rPr>
                <w:b/>
                <w:color w:val="FF0000"/>
                <w:sz w:val="24"/>
              </w:rPr>
            </w:pPr>
            <w:r>
              <w:rPr>
                <w:b/>
                <w:color w:val="FF0000"/>
                <w:sz w:val="24"/>
              </w:rPr>
              <w:t>2025 年</w:t>
            </w:r>
          </w:p>
        </w:tc>
        <w:tc>
          <w:tcPr>
            <w:tcW w:w="1233" w:type="dxa"/>
          </w:tcPr>
          <w:p>
            <w:pPr>
              <w:pStyle w:val="7"/>
              <w:spacing w:before="81"/>
              <w:ind w:left="171" w:right="163"/>
              <w:rPr>
                <w:b/>
                <w:color w:val="FF0000"/>
                <w:sz w:val="24"/>
              </w:rPr>
            </w:pPr>
            <w:r>
              <w:rPr>
                <w:b/>
                <w:color w:val="FF0000"/>
                <w:sz w:val="24"/>
              </w:rPr>
              <w:t>2026 年</w:t>
            </w:r>
          </w:p>
        </w:tc>
        <w:tc>
          <w:tcPr>
            <w:tcW w:w="1233" w:type="dxa"/>
          </w:tcPr>
          <w:p>
            <w:pPr>
              <w:pStyle w:val="7"/>
              <w:spacing w:before="81"/>
              <w:ind w:left="171" w:right="164"/>
              <w:rPr>
                <w:b/>
                <w:color w:val="FF0000"/>
                <w:sz w:val="24"/>
              </w:rPr>
            </w:pPr>
            <w:r>
              <w:rPr>
                <w:b/>
                <w:color w:val="FF0000"/>
                <w:sz w:val="24"/>
              </w:rPr>
              <w:t>2027 年</w:t>
            </w:r>
          </w:p>
        </w:tc>
        <w:tc>
          <w:tcPr>
            <w:tcW w:w="1233" w:type="dxa"/>
          </w:tcPr>
          <w:p>
            <w:pPr>
              <w:pStyle w:val="7"/>
              <w:spacing w:before="81"/>
              <w:ind w:left="169" w:right="164"/>
              <w:rPr>
                <w:b/>
                <w:color w:val="FF0000"/>
                <w:sz w:val="24"/>
              </w:rPr>
            </w:pPr>
            <w:r>
              <w:rPr>
                <w:b/>
                <w:color w:val="FF0000"/>
                <w:sz w:val="24"/>
              </w:rPr>
              <w:t>2028 年</w:t>
            </w:r>
          </w:p>
        </w:tc>
        <w:tc>
          <w:tcPr>
            <w:tcW w:w="1234" w:type="dxa"/>
          </w:tcPr>
          <w:p>
            <w:pPr>
              <w:pStyle w:val="7"/>
              <w:spacing w:before="81"/>
              <w:ind w:left="171" w:right="166"/>
              <w:rPr>
                <w:b/>
                <w:color w:val="FF0000"/>
                <w:sz w:val="24"/>
              </w:rPr>
            </w:pPr>
            <w:r>
              <w:rPr>
                <w:b/>
                <w:color w:val="FF0000"/>
                <w:sz w:val="24"/>
              </w:rPr>
              <w:t>2029 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3101" w:type="dxa"/>
          </w:tcPr>
          <w:p>
            <w:pPr>
              <w:pStyle w:val="7"/>
              <w:ind w:left="343"/>
              <w:jc w:val="left"/>
              <w:rPr>
                <w:b/>
                <w:color w:val="FF0000"/>
                <w:sz w:val="24"/>
              </w:rPr>
            </w:pPr>
            <w:r>
              <w:rPr>
                <w:b/>
                <w:color w:val="FF0000"/>
                <w:sz w:val="24"/>
              </w:rPr>
              <w:t>熔铸（范围 1+范围 2）</w:t>
            </w:r>
          </w:p>
        </w:tc>
        <w:tc>
          <w:tcPr>
            <w:tcW w:w="1233" w:type="dxa"/>
          </w:tcPr>
          <w:p>
            <w:pPr>
              <w:pStyle w:val="7"/>
              <w:ind w:left="170" w:right="164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0.2</w:t>
            </w:r>
          </w:p>
        </w:tc>
        <w:tc>
          <w:tcPr>
            <w:tcW w:w="1233" w:type="dxa"/>
          </w:tcPr>
          <w:p>
            <w:pPr>
              <w:pStyle w:val="7"/>
              <w:ind w:left="171" w:right="163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0.2</w:t>
            </w:r>
          </w:p>
        </w:tc>
        <w:tc>
          <w:tcPr>
            <w:tcW w:w="1233" w:type="dxa"/>
          </w:tcPr>
          <w:p>
            <w:pPr>
              <w:pStyle w:val="7"/>
              <w:ind w:left="171" w:right="162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0.2</w:t>
            </w:r>
          </w:p>
        </w:tc>
        <w:tc>
          <w:tcPr>
            <w:tcW w:w="1233" w:type="dxa"/>
          </w:tcPr>
          <w:p>
            <w:pPr>
              <w:pStyle w:val="7"/>
              <w:ind w:left="171" w:right="161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0.2</w:t>
            </w:r>
          </w:p>
        </w:tc>
        <w:tc>
          <w:tcPr>
            <w:tcW w:w="1234" w:type="dxa"/>
          </w:tcPr>
          <w:p>
            <w:pPr>
              <w:pStyle w:val="7"/>
              <w:ind w:left="171" w:right="161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0.19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3101" w:type="dxa"/>
          </w:tcPr>
          <w:p>
            <w:pPr>
              <w:pStyle w:val="7"/>
              <w:ind w:right="-29"/>
              <w:jc w:val="left"/>
              <w:rPr>
                <w:b/>
                <w:color w:val="FF0000"/>
                <w:sz w:val="24"/>
              </w:rPr>
            </w:pPr>
            <w:r>
              <w:rPr>
                <w:b/>
                <w:color w:val="FF0000"/>
                <w:spacing w:val="-25"/>
                <w:sz w:val="24"/>
              </w:rPr>
              <w:t>半成品生产</w:t>
            </w:r>
            <w:r>
              <w:rPr>
                <w:b/>
                <w:color w:val="FF0000"/>
                <w:sz w:val="24"/>
              </w:rPr>
              <w:t>（</w:t>
            </w:r>
            <w:r>
              <w:rPr>
                <w:b/>
                <w:color w:val="FF0000"/>
                <w:spacing w:val="-23"/>
                <w:sz w:val="24"/>
              </w:rPr>
              <w:t xml:space="preserve">范围 </w:t>
            </w:r>
            <w:r>
              <w:rPr>
                <w:b/>
                <w:color w:val="FF0000"/>
                <w:sz w:val="24"/>
              </w:rPr>
              <w:t>1</w:t>
            </w:r>
            <w:r>
              <w:rPr>
                <w:b/>
                <w:color w:val="FF0000"/>
                <w:spacing w:val="-17"/>
                <w:sz w:val="24"/>
              </w:rPr>
              <w:t xml:space="preserve">+范围 </w:t>
            </w:r>
            <w:r>
              <w:rPr>
                <w:b/>
                <w:color w:val="FF0000"/>
                <w:sz w:val="24"/>
              </w:rPr>
              <w:t>2）</w:t>
            </w:r>
          </w:p>
        </w:tc>
        <w:tc>
          <w:tcPr>
            <w:tcW w:w="1233" w:type="dxa"/>
          </w:tcPr>
          <w:p>
            <w:pPr>
              <w:pStyle w:val="7"/>
              <w:ind w:left="170" w:right="164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0.87</w:t>
            </w:r>
          </w:p>
        </w:tc>
        <w:tc>
          <w:tcPr>
            <w:tcW w:w="1233" w:type="dxa"/>
          </w:tcPr>
          <w:p>
            <w:pPr>
              <w:pStyle w:val="7"/>
              <w:ind w:left="171" w:right="163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0.84</w:t>
            </w:r>
          </w:p>
        </w:tc>
        <w:tc>
          <w:tcPr>
            <w:tcW w:w="1233" w:type="dxa"/>
          </w:tcPr>
          <w:p>
            <w:pPr>
              <w:pStyle w:val="7"/>
              <w:ind w:left="171" w:right="162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0.81</w:t>
            </w:r>
          </w:p>
        </w:tc>
        <w:tc>
          <w:tcPr>
            <w:tcW w:w="1233" w:type="dxa"/>
          </w:tcPr>
          <w:p>
            <w:pPr>
              <w:pStyle w:val="7"/>
              <w:ind w:left="171" w:right="161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0.78</w:t>
            </w:r>
          </w:p>
        </w:tc>
        <w:tc>
          <w:tcPr>
            <w:tcW w:w="1234" w:type="dxa"/>
          </w:tcPr>
          <w:p>
            <w:pPr>
              <w:pStyle w:val="7"/>
              <w:ind w:left="171" w:right="161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0.75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3101" w:type="dxa"/>
          </w:tcPr>
          <w:p>
            <w:pPr>
              <w:pStyle w:val="7"/>
              <w:ind w:left="435"/>
              <w:jc w:val="left"/>
              <w:rPr>
                <w:b/>
                <w:color w:val="FF0000"/>
                <w:sz w:val="24"/>
              </w:rPr>
            </w:pPr>
            <w:r>
              <w:rPr>
                <w:b/>
                <w:color w:val="FF0000"/>
                <w:sz w:val="24"/>
              </w:rPr>
              <w:t>采购（范围 3 一类）</w:t>
            </w:r>
          </w:p>
        </w:tc>
        <w:tc>
          <w:tcPr>
            <w:tcW w:w="1233" w:type="dxa"/>
          </w:tcPr>
          <w:p>
            <w:pPr>
              <w:pStyle w:val="7"/>
              <w:ind w:left="170" w:right="164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19.8</w:t>
            </w:r>
          </w:p>
        </w:tc>
        <w:tc>
          <w:tcPr>
            <w:tcW w:w="1233" w:type="dxa"/>
          </w:tcPr>
          <w:p>
            <w:pPr>
              <w:pStyle w:val="7"/>
              <w:ind w:left="171" w:right="163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18.6</w:t>
            </w:r>
          </w:p>
        </w:tc>
        <w:tc>
          <w:tcPr>
            <w:tcW w:w="1233" w:type="dxa"/>
          </w:tcPr>
          <w:p>
            <w:pPr>
              <w:pStyle w:val="7"/>
              <w:ind w:left="171" w:right="162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18.5</w:t>
            </w:r>
          </w:p>
        </w:tc>
        <w:tc>
          <w:tcPr>
            <w:tcW w:w="1233" w:type="dxa"/>
          </w:tcPr>
          <w:p>
            <w:pPr>
              <w:pStyle w:val="7"/>
              <w:ind w:left="171" w:right="161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17.6</w:t>
            </w:r>
          </w:p>
        </w:tc>
        <w:tc>
          <w:tcPr>
            <w:tcW w:w="1234" w:type="dxa"/>
          </w:tcPr>
          <w:p>
            <w:pPr>
              <w:pStyle w:val="7"/>
              <w:ind w:left="171" w:right="161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16.6</w:t>
            </w:r>
          </w:p>
        </w:tc>
      </w:tr>
    </w:tbl>
    <w:p>
      <w:pPr>
        <w:pStyle w:val="2"/>
        <w:spacing w:before="0"/>
        <w:rPr>
          <w:sz w:val="26"/>
        </w:rPr>
      </w:pPr>
    </w:p>
    <w:p>
      <w:pPr>
        <w:pStyle w:val="2"/>
        <w:rPr>
          <w:sz w:val="26"/>
        </w:rPr>
      </w:pPr>
    </w:p>
    <w:p>
      <w:pPr>
        <w:pStyle w:val="2"/>
        <w:spacing w:before="1"/>
        <w:ind w:left="692"/>
      </w:pPr>
      <w:r>
        <w:t>2、减排计划</w:t>
      </w:r>
    </w:p>
    <w:p>
      <w:pPr>
        <w:pStyle w:val="2"/>
        <w:spacing w:before="6"/>
        <w:rPr>
          <w:sz w:val="15"/>
        </w:rPr>
      </w:pPr>
    </w:p>
    <w:tbl>
      <w:tblPr>
        <w:tblStyle w:val="3"/>
        <w:tblW w:w="0" w:type="auto"/>
        <w:tblInd w:w="3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1"/>
        <w:gridCol w:w="1380"/>
        <w:gridCol w:w="4781"/>
        <w:gridCol w:w="24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811" w:type="dxa"/>
          </w:tcPr>
          <w:p>
            <w:pPr>
              <w:pStyle w:val="7"/>
              <w:spacing w:before="2"/>
              <w:ind w:left="145" w:right="135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380" w:type="dxa"/>
          </w:tcPr>
          <w:p>
            <w:pPr>
              <w:pStyle w:val="7"/>
              <w:spacing w:before="2"/>
              <w:ind w:left="209"/>
              <w:jc w:val="left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4781" w:type="dxa"/>
          </w:tcPr>
          <w:p>
            <w:pPr>
              <w:pStyle w:val="7"/>
              <w:spacing w:before="2"/>
              <w:ind w:left="1650" w:right="1640"/>
              <w:rPr>
                <w:sz w:val="24"/>
              </w:rPr>
            </w:pPr>
            <w:r>
              <w:rPr>
                <w:sz w:val="24"/>
              </w:rPr>
              <w:t>项目实施内容</w:t>
            </w:r>
          </w:p>
        </w:tc>
        <w:tc>
          <w:tcPr>
            <w:tcW w:w="2481" w:type="dxa"/>
          </w:tcPr>
          <w:p>
            <w:pPr>
              <w:pStyle w:val="7"/>
              <w:spacing w:before="2"/>
              <w:ind w:left="158"/>
              <w:jc w:val="left"/>
              <w:rPr>
                <w:sz w:val="24"/>
              </w:rPr>
            </w:pPr>
            <w:r>
              <w:rPr>
                <w:sz w:val="24"/>
              </w:rPr>
              <w:t>预期减排效果或途径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811" w:type="dxa"/>
          </w:tcPr>
          <w:p>
            <w:pPr>
              <w:pStyle w:val="7"/>
              <w:spacing w:before="2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80" w:type="dxa"/>
          </w:tcPr>
          <w:p>
            <w:pPr>
              <w:pStyle w:val="7"/>
              <w:spacing w:before="62" w:line="242" w:lineRule="auto"/>
              <w:ind w:left="209" w:right="198"/>
              <w:rPr>
                <w:sz w:val="24"/>
              </w:rPr>
            </w:pPr>
            <w:r>
              <w:rPr>
                <w:sz w:val="24"/>
              </w:rPr>
              <w:t>优化生产工艺及排产</w:t>
            </w:r>
          </w:p>
        </w:tc>
        <w:tc>
          <w:tcPr>
            <w:tcW w:w="4781" w:type="dxa"/>
          </w:tcPr>
          <w:p>
            <w:pPr>
              <w:pStyle w:val="7"/>
              <w:spacing w:before="0"/>
              <w:ind w:left="0"/>
              <w:jc w:val="left"/>
              <w:rPr>
                <w:sz w:val="17"/>
              </w:rPr>
            </w:pPr>
          </w:p>
          <w:p>
            <w:pPr>
              <w:pStyle w:val="7"/>
              <w:spacing w:before="0" w:line="242" w:lineRule="auto"/>
              <w:ind w:left="950" w:right="98" w:hanging="840"/>
              <w:jc w:val="left"/>
              <w:rPr>
                <w:sz w:val="24"/>
              </w:rPr>
            </w:pPr>
            <w:r>
              <w:rPr>
                <w:sz w:val="24"/>
              </w:rPr>
              <w:t>对各个工序的生产工艺进行优化，减少设备待机时间等，提高生产效率</w:t>
            </w:r>
          </w:p>
        </w:tc>
        <w:tc>
          <w:tcPr>
            <w:tcW w:w="2481" w:type="dxa"/>
          </w:tcPr>
          <w:p>
            <w:pPr>
              <w:pStyle w:val="7"/>
              <w:spacing w:before="2" w:line="242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提高设备生产效率， 降低单位产品的温室气体的排放量。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811" w:type="dxa"/>
          </w:tcPr>
          <w:p>
            <w:pPr>
              <w:pStyle w:val="7"/>
              <w:spacing w:before="4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80" w:type="dxa"/>
          </w:tcPr>
          <w:p>
            <w:pPr>
              <w:pStyle w:val="7"/>
              <w:spacing w:before="64" w:line="242" w:lineRule="auto"/>
              <w:ind w:left="329" w:right="198" w:hanging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能源管理中心优化项目</w:t>
            </w:r>
          </w:p>
        </w:tc>
        <w:tc>
          <w:tcPr>
            <w:tcW w:w="4781" w:type="dxa"/>
          </w:tcPr>
          <w:p>
            <w:pPr>
              <w:pStyle w:val="7"/>
              <w:spacing w:before="64" w:line="242" w:lineRule="auto"/>
              <w:ind w:right="100"/>
              <w:jc w:val="left"/>
              <w:rPr>
                <w:sz w:val="24"/>
              </w:rPr>
            </w:pPr>
            <w:r>
              <w:rPr>
                <w:rFonts w:hint="eastAsia"/>
                <w:spacing w:val="-1"/>
                <w:sz w:val="24"/>
              </w:rPr>
              <w:t>公司建立了能源管理中心，实现了能源数据的实时在线监控，系统运行至今，加强能源管理，可以使各耗能车间减少能源的浪费。</w:t>
            </w:r>
          </w:p>
        </w:tc>
        <w:tc>
          <w:tcPr>
            <w:tcW w:w="2481" w:type="dxa"/>
          </w:tcPr>
          <w:p>
            <w:pPr>
              <w:pStyle w:val="7"/>
              <w:spacing w:before="4" w:line="242" w:lineRule="auto"/>
              <w:ind w:right="95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能源浪费</w:t>
            </w:r>
            <w:r>
              <w:rPr>
                <w:sz w:val="24"/>
              </w:rPr>
              <w:t>，减少间接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直接</w:t>
            </w:r>
            <w:r>
              <w:rPr>
                <w:sz w:val="24"/>
              </w:rPr>
              <w:t>排放。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811" w:type="dxa"/>
          </w:tcPr>
          <w:p>
            <w:pPr>
              <w:pStyle w:val="7"/>
              <w:spacing w:before="3"/>
              <w:ind w:left="10"/>
              <w:rPr>
                <w:rFonts w:hint="eastAsia" w:eastAsia="楷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380" w:type="dxa"/>
          </w:tcPr>
          <w:p>
            <w:pPr>
              <w:pStyle w:val="7"/>
              <w:spacing w:before="7"/>
              <w:ind w:left="0"/>
              <w:jc w:val="left"/>
              <w:rPr>
                <w:sz w:val="24"/>
              </w:rPr>
            </w:pPr>
          </w:p>
          <w:p>
            <w:pPr>
              <w:pStyle w:val="7"/>
              <w:spacing w:before="0" w:line="242" w:lineRule="auto"/>
              <w:ind w:left="209" w:right="198"/>
              <w:rPr>
                <w:sz w:val="24"/>
              </w:rPr>
            </w:pPr>
            <w:r>
              <w:rPr>
                <w:sz w:val="24"/>
              </w:rPr>
              <w:t>低效电机升级替换项目</w:t>
            </w:r>
          </w:p>
        </w:tc>
        <w:tc>
          <w:tcPr>
            <w:tcW w:w="4781" w:type="dxa"/>
          </w:tcPr>
          <w:p>
            <w:pPr>
              <w:pStyle w:val="7"/>
              <w:spacing w:before="3" w:line="242" w:lineRule="auto"/>
              <w:ind w:right="10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电机能耗在总能耗中占相当大的比例，同等输出功率的更高一级能效的电机转差会减少</w:t>
            </w:r>
            <w:r>
              <w:rPr>
                <w:sz w:val="24"/>
              </w:rPr>
              <w:t>20%-30%，</w:t>
            </w:r>
            <w:r>
              <w:rPr>
                <w:spacing w:val="-7"/>
                <w:sz w:val="24"/>
              </w:rPr>
              <w:t xml:space="preserve">转速比普通电机高 </w:t>
            </w:r>
            <w:r>
              <w:rPr>
                <w:sz w:val="24"/>
              </w:rPr>
              <w:t>10</w:t>
            </w:r>
            <w:r>
              <w:rPr>
                <w:spacing w:val="-13"/>
                <w:sz w:val="24"/>
              </w:rPr>
              <w:t xml:space="preserve"> 转以上，更</w:t>
            </w:r>
            <w:r>
              <w:rPr>
                <w:spacing w:val="-1"/>
                <w:sz w:val="24"/>
              </w:rPr>
              <w:t>换高效电机后将降低长期运行成本，获得可</w:t>
            </w:r>
          </w:p>
          <w:p>
            <w:pPr>
              <w:pStyle w:val="7"/>
              <w:spacing w:before="6" w:line="289" w:lineRule="exact"/>
              <w:jc w:val="left"/>
              <w:rPr>
                <w:sz w:val="24"/>
              </w:rPr>
            </w:pPr>
            <w:r>
              <w:rPr>
                <w:sz w:val="24"/>
              </w:rPr>
              <w:t>观的节能量。</w:t>
            </w:r>
          </w:p>
        </w:tc>
        <w:tc>
          <w:tcPr>
            <w:tcW w:w="2481" w:type="dxa"/>
          </w:tcPr>
          <w:p>
            <w:pPr>
              <w:pStyle w:val="7"/>
              <w:spacing w:before="3" w:line="242" w:lineRule="auto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降低能耗，减少电力的间接排放。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811" w:type="dxa"/>
          </w:tcPr>
          <w:p>
            <w:pPr>
              <w:pStyle w:val="7"/>
              <w:spacing w:before="2"/>
              <w:ind w:left="10"/>
              <w:rPr>
                <w:rFonts w:hint="eastAsia" w:eastAsia="楷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1380" w:type="dxa"/>
          </w:tcPr>
          <w:p>
            <w:pPr>
              <w:pStyle w:val="7"/>
              <w:spacing w:before="62" w:line="242" w:lineRule="auto"/>
              <w:ind w:left="209" w:right="198"/>
              <w:rPr>
                <w:sz w:val="24"/>
              </w:rPr>
            </w:pPr>
            <w:r>
              <w:rPr>
                <w:sz w:val="24"/>
              </w:rPr>
              <w:t>厂区瓦面光伏发电项目</w:t>
            </w:r>
          </w:p>
        </w:tc>
        <w:tc>
          <w:tcPr>
            <w:tcW w:w="4781" w:type="dxa"/>
          </w:tcPr>
          <w:p>
            <w:pPr>
              <w:pStyle w:val="7"/>
              <w:spacing w:before="62" w:line="242" w:lineRule="auto"/>
              <w:ind w:right="-29"/>
              <w:jc w:val="left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利用厂区瓦面进行安装 </w:t>
            </w:r>
            <w:r>
              <w:rPr>
                <w:rFonts w:hint="eastAsia"/>
                <w:sz w:val="24"/>
                <w:lang w:val="en-US" w:eastAsia="zh-CN"/>
              </w:rPr>
              <w:t>45M</w:t>
            </w:r>
            <w:r>
              <w:rPr>
                <w:sz w:val="24"/>
              </w:rPr>
              <w:t>W</w:t>
            </w:r>
            <w:r>
              <w:rPr>
                <w:spacing w:val="-9"/>
                <w:sz w:val="24"/>
              </w:rPr>
              <w:t>光伏发电组</w:t>
            </w:r>
            <w:r>
              <w:rPr>
                <w:rFonts w:hint="eastAsia"/>
                <w:spacing w:val="-9"/>
                <w:sz w:val="24"/>
                <w:lang w:eastAsia="zh-CN"/>
              </w:rPr>
              <w:t>，</w:t>
            </w:r>
            <w:r>
              <w:rPr>
                <w:spacing w:val="-9"/>
                <w:sz w:val="24"/>
              </w:rPr>
              <w:t>将所产生的电量用于生产中，以减少外购电</w:t>
            </w:r>
            <w:r>
              <w:rPr>
                <w:spacing w:val="-35"/>
                <w:sz w:val="24"/>
              </w:rPr>
              <w:t xml:space="preserve">力 </w:t>
            </w:r>
            <w:r>
              <w:rPr>
                <w:rFonts w:hint="eastAsia"/>
                <w:sz w:val="24"/>
                <w:lang w:val="en-US" w:eastAsia="zh-CN"/>
              </w:rPr>
              <w:t>3500</w:t>
            </w:r>
            <w:r>
              <w:rPr>
                <w:spacing w:val="-40"/>
                <w:sz w:val="24"/>
              </w:rPr>
              <w:t xml:space="preserve">万 </w:t>
            </w:r>
            <w:r>
              <w:rPr>
                <w:sz w:val="24"/>
              </w:rPr>
              <w:t>kwh</w:t>
            </w:r>
            <w:r>
              <w:rPr>
                <w:rFonts w:hint="eastAsia"/>
                <w:sz w:val="24"/>
                <w:lang w:val="en-US" w:eastAsia="zh-CN"/>
              </w:rPr>
              <w:t>/年</w:t>
            </w:r>
            <w:r>
              <w:rPr>
                <w:sz w:val="24"/>
              </w:rPr>
              <w:t>。</w:t>
            </w:r>
          </w:p>
        </w:tc>
        <w:tc>
          <w:tcPr>
            <w:tcW w:w="2481" w:type="dxa"/>
          </w:tcPr>
          <w:p>
            <w:pPr>
              <w:pStyle w:val="7"/>
              <w:spacing w:before="2" w:line="242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采用绿色能源，替代消除温室气体排放源。</w:t>
            </w:r>
          </w:p>
        </w:tc>
      </w:tr>
    </w:tbl>
    <w:p/>
    <w:sectPr>
      <w:pgSz w:w="11910" w:h="16840"/>
      <w:pgMar w:top="1160" w:right="900" w:bottom="280" w:left="9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50E41"/>
    <w:rsid w:val="23732812"/>
    <w:rsid w:val="3E1F6896"/>
    <w:rsid w:val="43B157DC"/>
    <w:rsid w:val="46582F64"/>
    <w:rsid w:val="4C6E0120"/>
    <w:rsid w:val="5A8339EC"/>
    <w:rsid w:val="65712990"/>
    <w:rsid w:val="67701A0B"/>
    <w:rsid w:val="6F582EB5"/>
    <w:rsid w:val="7E740C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楷体" w:hAnsi="楷体" w:eastAsia="楷体" w:cs="楷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"/>
    </w:pPr>
    <w:rPr>
      <w:rFonts w:ascii="楷体" w:hAnsi="楷体" w:eastAsia="楷体" w:cs="楷体"/>
      <w:sz w:val="24"/>
      <w:szCs w:val="24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pPr>
      <w:spacing w:before="80"/>
      <w:ind w:left="108"/>
      <w:jc w:val="center"/>
    </w:pPr>
    <w:rPr>
      <w:rFonts w:ascii="楷体" w:hAnsi="楷体" w:eastAsia="楷体" w:cs="楷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2025-09-08T06:19:00Z</dcterms:created>
  <dc:creator>顽石</dc:creator>
  <cp:lastModifiedBy>JM018169</cp:lastModifiedBy>
  <dcterms:modified xsi:type="dcterms:W3CDTF">2025-12-04T03:04:12Z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2025-09-08T00:00:00Z</vt:filetime>
  </property>
  <property fmtid="{D5CDD505-2E9C-101B-9397-08002B2CF9AE}" pid="5" name="KSOProductBuildVer">
    <vt:lpwstr>2052-11.1.0.10314</vt:lpwstr>
  </property>
</Properties>
</file>